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49" w:rsidRPr="00EB5C49" w:rsidRDefault="00EB5C49" w:rsidP="00EB5C4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1A1A1A"/>
          <w:kern w:val="36"/>
          <w:sz w:val="30"/>
          <w:szCs w:val="30"/>
          <w:lang w:eastAsia="ru-RU"/>
        </w:rPr>
      </w:pPr>
      <w:bookmarkStart w:id="0" w:name="6737a8e69188ed7e_Hlk201048041"/>
      <w:r w:rsidRPr="00EB5C49">
        <w:rPr>
          <w:rFonts w:ascii="Helvetica" w:eastAsia="Times New Roman" w:hAnsi="Helvetica" w:cs="Arial"/>
          <w:color w:val="1A1A1A"/>
          <w:kern w:val="36"/>
          <w:sz w:val="30"/>
          <w:szCs w:val="30"/>
          <w:lang w:eastAsia="ru-RU"/>
        </w:rPr>
        <w:t>Ответ на обращение № 72585 от 28.07.2025</w:t>
      </w:r>
    </w:p>
    <w:p w:rsidR="0014235B" w:rsidRPr="0014235B" w:rsidRDefault="00EB5C49" w:rsidP="00EB5C49">
      <w:pPr>
        <w:rPr>
          <w:rFonts w:ascii="Helvetica" w:eastAsia="Times New Roman" w:hAnsi="Helvetica" w:cs="Arial"/>
          <w:sz w:val="21"/>
          <w:szCs w:val="21"/>
          <w:lang w:val="en-US" w:eastAsia="ru-RU"/>
        </w:rPr>
      </w:pPr>
      <w:r w:rsidRPr="00EB5C49">
        <w:rPr>
          <w:lang w:val="en-US"/>
        </w:rPr>
        <w:t>OT</w:t>
      </w:r>
      <w:r w:rsidRPr="0014235B">
        <w:rPr>
          <w:lang w:val="en-US"/>
        </w:rPr>
        <w:t xml:space="preserve">: </w:t>
      </w:r>
      <w:r>
        <w:rPr>
          <w:rFonts w:ascii="Arial" w:eastAsia="Times New Roman" w:hAnsi="Arial" w:cs="Arial"/>
          <w:sz w:val="21"/>
          <w:szCs w:val="21"/>
          <w:lang w:val="en-US" w:eastAsia="ru-RU"/>
        </w:rPr>
        <w:fldChar w:fldCharType="begin"/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 xml:space="preserve"> </w:instrText>
      </w:r>
      <w:r>
        <w:rPr>
          <w:rFonts w:ascii="Arial" w:eastAsia="Times New Roman" w:hAnsi="Arial" w:cs="Arial"/>
          <w:sz w:val="21"/>
          <w:szCs w:val="21"/>
          <w:lang w:val="en-US" w:eastAsia="ru-RU"/>
        </w:rPr>
        <w:instrText>HYPERLINK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 xml:space="preserve"> "</w:instrText>
      </w:r>
      <w:r>
        <w:rPr>
          <w:rFonts w:ascii="Arial" w:eastAsia="Times New Roman" w:hAnsi="Arial" w:cs="Arial"/>
          <w:sz w:val="21"/>
          <w:szCs w:val="21"/>
          <w:lang w:val="en-US" w:eastAsia="ru-RU"/>
        </w:rPr>
        <w:instrText>mailto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: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otvet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_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officeotvet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_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office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@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spb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-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neo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>.</w:instrText>
      </w:r>
      <w:r w:rsidRPr="00EB5C49">
        <w:rPr>
          <w:rFonts w:ascii="Arial" w:eastAsia="Times New Roman" w:hAnsi="Arial" w:cs="Arial"/>
          <w:sz w:val="21"/>
          <w:szCs w:val="21"/>
          <w:lang w:val="en-US" w:eastAsia="ru-RU"/>
        </w:rPr>
        <w:instrText>ru</w:instrText>
      </w:r>
      <w:r w:rsidRPr="0014235B">
        <w:rPr>
          <w:rFonts w:ascii="Arial" w:eastAsia="Times New Roman" w:hAnsi="Arial" w:cs="Arial"/>
          <w:sz w:val="21"/>
          <w:szCs w:val="21"/>
          <w:lang w:val="en-US" w:eastAsia="ru-RU"/>
        </w:rPr>
        <w:instrText xml:space="preserve">" </w:instrText>
      </w:r>
      <w:r>
        <w:rPr>
          <w:rFonts w:ascii="Arial" w:eastAsia="Times New Roman" w:hAnsi="Arial" w:cs="Arial"/>
          <w:sz w:val="21"/>
          <w:szCs w:val="21"/>
          <w:lang w:val="en-US" w:eastAsia="ru-RU"/>
        </w:rPr>
        <w:fldChar w:fldCharType="separate"/>
      </w:r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otvet</w:t>
      </w:r>
      <w:r w:rsidRPr="0014235B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_</w:t>
      </w:r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officeotvet</w:t>
      </w:r>
      <w:r w:rsidRPr="0014235B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_</w:t>
      </w:r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office</w:t>
      </w:r>
      <w:r w:rsidRPr="0014235B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@</w:t>
      </w:r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spb</w:t>
      </w:r>
      <w:r w:rsidRPr="0014235B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-</w:t>
      </w:r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neo</w:t>
      </w:r>
      <w:r w:rsidRPr="0014235B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.</w:t>
      </w:r>
      <w:proofErr w:type="spellStart"/>
      <w:r w:rsidRPr="00A203F5">
        <w:rPr>
          <w:rStyle w:val="a3"/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sz w:val="21"/>
          <w:szCs w:val="21"/>
          <w:lang w:val="en-US" w:eastAsia="ru-RU"/>
        </w:rPr>
        <w:fldChar w:fldCharType="end"/>
      </w:r>
      <w:r w:rsidR="00C5005C" w:rsidRPr="0014235B">
        <w:rPr>
          <w:rFonts w:ascii="Helvetica" w:eastAsia="Times New Roman" w:hAnsi="Helvetica" w:cs="Arial"/>
          <w:sz w:val="21"/>
          <w:szCs w:val="21"/>
          <w:lang w:val="en-US" w:eastAsia="ru-RU"/>
        </w:rPr>
        <w:t xml:space="preserve">, </w:t>
      </w:r>
    </w:p>
    <w:p w:rsidR="00EB5C49" w:rsidRPr="00EB5C49" w:rsidRDefault="00EB5C49" w:rsidP="00EB5C49">
      <w:pPr>
        <w:rPr>
          <w:rFonts w:ascii="Helvetica" w:eastAsia="Times New Roman" w:hAnsi="Helvetica" w:cs="Arial"/>
          <w:sz w:val="21"/>
          <w:szCs w:val="21"/>
          <w:lang w:eastAsia="ru-RU"/>
        </w:rPr>
      </w:pPr>
      <w:bookmarkStart w:id="1" w:name="_GoBack"/>
      <w:bookmarkEnd w:id="1"/>
      <w:r w:rsidRPr="00EB5C49">
        <w:rPr>
          <w:rFonts w:ascii="Helvetica" w:eastAsia="Times New Roman" w:hAnsi="Helvetica" w:cs="Arial"/>
          <w:sz w:val="21"/>
          <w:szCs w:val="21"/>
          <w:lang w:eastAsia="ru-RU"/>
        </w:rPr>
        <w:t>11:55</w:t>
      </w:r>
      <w:r>
        <w:rPr>
          <w:rFonts w:ascii="Helvetica" w:eastAsia="Times New Roman" w:hAnsi="Helvetica" w:cs="Arial"/>
          <w:sz w:val="21"/>
          <w:szCs w:val="21"/>
          <w:lang w:eastAsia="ru-RU"/>
        </w:rPr>
        <w:t xml:space="preserve"> (10.08.2025 г.)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color w:val="002060"/>
          <w:sz w:val="22"/>
          <w:szCs w:val="22"/>
        </w:rPr>
      </w:pP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Уважаемый Владимир Николаевич!</w:t>
      </w:r>
      <w:bookmarkEnd w:id="0"/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 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В ответ на Ваше обращение от 28.07.2025 № б/н АО «Невский экологический оператор» (далее – Региональный оператор) сообщает следующее.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Согласно п. 2.3. Распоряжения Комитета по природопользованию, охране окружающей среды и обеспечению экологической безопасности Правительства Санкт-Петербурга от 01.07.2022 № 371-р «Об утверждении Порядка накопления твердых коммунальных отходов (в том числе их раздельного накопления) на территории Санкт-Петербурга» (далее – Распоряжение № 371-р) складирование твердых коммунальных отходов (далее – ТКО) осуществляется следующими способами: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контейнеры и бункеры, расположенные на контейнерных площадках;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контейнеры, расположенные на контейнерных площадках, оборудованных системами подземного накопления ТКО (в том числе с автоматическими подъемниками для подъема контейнеров);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контейнеры и бункеры, расположенные на площадках с твердым покрытием, в том числе в условиях сложившейся застройки и индивидуальной жилой застройки;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контейнеры и бункеры, расположенные в специализированных помещениях, зданиях, строениях, сооружениях, оборудованных с соблюдением санитарных норм и правил, требований действующего законодательства;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бункеры, расположенные на специальных площадках.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Согласно п. 2 Постановлению Правительства РФ от 12.11.2016 № 1156 «Об обращении с ТКО и внесении изменения в постановление Правительства РФ от 25.08.2008 № 641» (вместе с «Правилами обращения с ТКО») (далее – Постановление № 1156), КГО –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В соответствии с п. 11 Постановления № 1156, в местах (площадках) накопления ТКО складирование КГО осуществляется потребителями следующими способами: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в бункеры, расположенные на контейнерных площадках;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на специальных площадках для складирования КГО.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Учитывая особенности Санкт-Петербурга, вывоз КГО осуществляется следующим способом: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- при наличии места установки контейнера (бункера) для КГО возможна установка такого контейнера (бункера) с периодичностью вывоза, предусмотренной п. 13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Необходимо отметить, что допускается установка контейнера для КГО по запросу управляющей домом организации под загрузку на сутки в место, указанное управляющей организацией. Официальную заявку управляющая домом организация может направить на электронную почту Регионального оператора – </w:t>
      </w:r>
      <w:hyperlink r:id="rId4" w:tgtFrame="_blank" w:history="1">
        <w:r>
          <w:rPr>
            <w:rStyle w:val="a3"/>
            <w:rFonts w:ascii="Tahoma" w:hAnsi="Tahoma" w:cs="Tahoma"/>
            <w:color w:val="002060"/>
            <w:sz w:val="22"/>
            <w:szCs w:val="22"/>
            <w:u w:val="none"/>
          </w:rPr>
          <w:t>zakaz@spb-neo.ru</w:t>
        </w:r>
      </w:hyperlink>
      <w:r>
        <w:rPr>
          <w:rFonts w:ascii="Tahoma" w:hAnsi="Tahoma" w:cs="Tahoma"/>
          <w:color w:val="002060"/>
          <w:sz w:val="22"/>
          <w:szCs w:val="22"/>
        </w:rPr>
        <w:t>. Бланк заявления размещен на сайте АО «Невский экологический оператор» по ссылке (</w:t>
      </w:r>
      <w:hyperlink r:id="rId5" w:tgtFrame="_blank" w:history="1">
        <w:r>
          <w:rPr>
            <w:rStyle w:val="a3"/>
            <w:rFonts w:ascii="Tahoma" w:hAnsi="Tahoma" w:cs="Tahoma"/>
            <w:color w:val="002060"/>
            <w:sz w:val="22"/>
            <w:szCs w:val="22"/>
            <w:u w:val="none"/>
          </w:rPr>
          <w:t>https://spb-neo.ru/informatsiya-dlya-potrebiteley/dlya-yur-lits/zayavka-na-dopolnitelnyy-vyvoz-tko-kgo/</w:t>
        </w:r>
      </w:hyperlink>
      <w:r>
        <w:rPr>
          <w:rFonts w:ascii="Tahoma" w:hAnsi="Tahoma" w:cs="Tahoma"/>
          <w:color w:val="002060"/>
          <w:sz w:val="22"/>
          <w:szCs w:val="22"/>
        </w:rPr>
        <w:t>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Между Региональным оператором и ТСЖ «Шуваловский-51, корпус 3» заключен договор на оказание услуг по обращению с ТКО от 30.12.2021 № </w:t>
      </w:r>
      <w:r>
        <w:rPr>
          <w:rStyle w:val="wmi-callto"/>
          <w:rFonts w:ascii="Tahoma" w:hAnsi="Tahoma" w:cs="Tahoma"/>
          <w:color w:val="002060"/>
          <w:sz w:val="22"/>
          <w:szCs w:val="22"/>
        </w:rPr>
        <w:t>1257590-2022</w:t>
      </w:r>
      <w:r>
        <w:rPr>
          <w:rFonts w:ascii="Tahoma" w:hAnsi="Tahoma" w:cs="Tahoma"/>
          <w:color w:val="002060"/>
          <w:sz w:val="22"/>
          <w:szCs w:val="22"/>
        </w:rPr>
        <w:t xml:space="preserve">/ТКО, в рамках которых начисление производится по нормативу накопления. В таком случае </w:t>
      </w:r>
      <w:r>
        <w:rPr>
          <w:rFonts w:ascii="Tahoma" w:hAnsi="Tahoma" w:cs="Tahoma"/>
          <w:color w:val="002060"/>
          <w:sz w:val="22"/>
          <w:szCs w:val="22"/>
        </w:rPr>
        <w:lastRenderedPageBreak/>
        <w:t>потребители вправе складировать ТКО/КГО на любую контейнерную площадку открытого типа.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Вывоз КГО осуществляется с организованных контейнерных площадок либо с установкой контейнера по КГО объемом не менее 14 м3 с дальнейшей погрузкой силами потребителя.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По адресу: Санкт-Петербург, </w:t>
      </w:r>
      <w:proofErr w:type="spellStart"/>
      <w:r>
        <w:rPr>
          <w:rFonts w:ascii="Tahoma" w:hAnsi="Tahoma" w:cs="Tahoma"/>
          <w:color w:val="002060"/>
          <w:sz w:val="22"/>
          <w:szCs w:val="22"/>
        </w:rPr>
        <w:t>Шуваловский</w:t>
      </w:r>
      <w:proofErr w:type="spellEnd"/>
      <w:r>
        <w:rPr>
          <w:rFonts w:ascii="Tahoma" w:hAnsi="Tahoma" w:cs="Tahoma"/>
          <w:color w:val="002060"/>
          <w:sz w:val="22"/>
          <w:szCs w:val="22"/>
        </w:rPr>
        <w:t xml:space="preserve"> пр. д. 51/3 отсутствует организованная контейнерная площадка в соответствии с требованием законодательства. Местом установки контейнеров для ТКО является место выката контейнеров из </w:t>
      </w:r>
      <w:proofErr w:type="spellStart"/>
      <w:r>
        <w:rPr>
          <w:rFonts w:ascii="Tahoma" w:hAnsi="Tahoma" w:cs="Tahoma"/>
          <w:color w:val="002060"/>
          <w:sz w:val="22"/>
          <w:szCs w:val="22"/>
        </w:rPr>
        <w:t>мусорокамер</w:t>
      </w:r>
      <w:proofErr w:type="spellEnd"/>
      <w:r>
        <w:rPr>
          <w:rFonts w:ascii="Tahoma" w:hAnsi="Tahoma" w:cs="Tahoma"/>
          <w:color w:val="002060"/>
          <w:sz w:val="22"/>
          <w:szCs w:val="22"/>
        </w:rPr>
        <w:t xml:space="preserve"> для дальнейшей погрузки. Складирование КГО на данном месте запрещено и является нарушением п. 8.2 КоАП РФ, так же запрещено и </w:t>
      </w:r>
      <w:proofErr w:type="gramStart"/>
      <w:r>
        <w:rPr>
          <w:rFonts w:ascii="Tahoma" w:hAnsi="Tahoma" w:cs="Tahoma"/>
          <w:color w:val="002060"/>
          <w:sz w:val="22"/>
          <w:szCs w:val="22"/>
        </w:rPr>
        <w:t>складирование</w:t>
      </w:r>
      <w:proofErr w:type="gramEnd"/>
      <w:r>
        <w:rPr>
          <w:rFonts w:ascii="Tahoma" w:hAnsi="Tahoma" w:cs="Tahoma"/>
          <w:color w:val="002060"/>
          <w:sz w:val="22"/>
          <w:szCs w:val="22"/>
        </w:rPr>
        <w:t xml:space="preserve"> и накопление крупногабаритных отходов около подъездов.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Учитывая вышеизложенное, просим Вас пользоваться ближайшей контейнерной площадкой по адресу: Санкт-Петербург, </w:t>
      </w:r>
      <w:proofErr w:type="spellStart"/>
      <w:r>
        <w:rPr>
          <w:rFonts w:ascii="Tahoma" w:hAnsi="Tahoma" w:cs="Tahoma"/>
          <w:color w:val="002060"/>
          <w:sz w:val="22"/>
          <w:szCs w:val="22"/>
        </w:rPr>
        <w:t>Шуваловский</w:t>
      </w:r>
      <w:proofErr w:type="spellEnd"/>
      <w:r>
        <w:rPr>
          <w:rFonts w:ascii="Tahoma" w:hAnsi="Tahoma" w:cs="Tahoma"/>
          <w:color w:val="002060"/>
          <w:sz w:val="22"/>
          <w:szCs w:val="22"/>
        </w:rPr>
        <w:t xml:space="preserve"> пр. д. 53/1, либо заказывать контейнер под погрузку с установкой не более суток, следует отметить, что объем контейнера под загрузку КГО не влияет на формирование оплаты.</w:t>
      </w:r>
      <w:r>
        <w:rPr>
          <w:rStyle w:val="2ad4e9294285bf9bapple-converted-space"/>
          <w:rFonts w:ascii="Tahoma" w:hAnsi="Tahoma" w:cs="Tahoma"/>
          <w:color w:val="002060"/>
          <w:sz w:val="22"/>
          <w:szCs w:val="22"/>
        </w:rPr>
        <w:t> 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  <w:r>
        <w:rPr>
          <w:rFonts w:ascii="Tahoma" w:hAnsi="Tahoma" w:cs="Tahoma"/>
          <w:color w:val="002060"/>
          <w:sz w:val="22"/>
          <w:szCs w:val="22"/>
        </w:rPr>
        <w:t>Благодарим за обращение!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 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С уважением,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Рыжова Елена Анатольевна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Ведущий специалист отдела по работе с жалобами и обращениями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АО «Невский экологический оператор»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Тел.: </w:t>
      </w:r>
      <w:r>
        <w:rPr>
          <w:rStyle w:val="wmi-callto"/>
          <w:rFonts w:ascii="Calibri" w:hAnsi="Calibri" w:cs="Calibri"/>
          <w:color w:val="1F497D"/>
          <w:sz w:val="22"/>
          <w:szCs w:val="22"/>
        </w:rPr>
        <w:t>+7 (812) 213-07-10</w:t>
      </w:r>
    </w:p>
    <w:p w:rsidR="00EB5C49" w:rsidRDefault="00EB5C49" w:rsidP="00EB5C49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1A1A1A"/>
          <w:sz w:val="22"/>
          <w:szCs w:val="22"/>
        </w:rPr>
      </w:pPr>
      <w:hyperlink r:id="rId6" w:tgtFrame="_blank" w:history="1">
        <w:r>
          <w:rPr>
            <w:rStyle w:val="a3"/>
            <w:rFonts w:ascii="Calibri" w:hAnsi="Calibri" w:cs="Calibri"/>
            <w:color w:val="0563C1"/>
            <w:sz w:val="22"/>
            <w:szCs w:val="22"/>
          </w:rPr>
          <w:t>www.spb-neo.ru</w:t>
        </w:r>
      </w:hyperlink>
    </w:p>
    <w:p w:rsidR="001774B1" w:rsidRDefault="001774B1"/>
    <w:sectPr w:rsidR="0017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49"/>
    <w:rsid w:val="0014235B"/>
    <w:rsid w:val="001774B1"/>
    <w:rsid w:val="00983D38"/>
    <w:rsid w:val="00C5005C"/>
    <w:rsid w:val="00E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4690-0D49-422F-BAFC-BC5B219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B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5C49"/>
    <w:rPr>
      <w:color w:val="0000FF"/>
      <w:u w:val="single"/>
    </w:rPr>
  </w:style>
  <w:style w:type="character" w:customStyle="1" w:styleId="wmi-callto">
    <w:name w:val="wmi-callto"/>
    <w:basedOn w:val="a0"/>
    <w:rsid w:val="00EB5C49"/>
  </w:style>
  <w:style w:type="character" w:customStyle="1" w:styleId="2ad4e9294285bf9bapple-converted-space">
    <w:name w:val="2ad4e9294285bf9bapple-converted-space"/>
    <w:basedOn w:val="a0"/>
    <w:rsid w:val="00EB5C49"/>
  </w:style>
  <w:style w:type="character" w:customStyle="1" w:styleId="10">
    <w:name w:val="Заголовок 1 Знак"/>
    <w:basedOn w:val="a0"/>
    <w:link w:val="1"/>
    <w:uiPriority w:val="9"/>
    <w:rsid w:val="00EB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EB5C49"/>
  </w:style>
  <w:style w:type="character" w:customStyle="1" w:styleId="button2-text">
    <w:name w:val="button2-text"/>
    <w:basedOn w:val="a0"/>
    <w:rsid w:val="00EB5C49"/>
  </w:style>
  <w:style w:type="character" w:customStyle="1" w:styleId="senderemail--8sc3y">
    <w:name w:val="sender__email--8sc3y"/>
    <w:basedOn w:val="a0"/>
    <w:rsid w:val="00EB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2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40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b-neo.ru/" TargetMode="External"/><Relationship Id="rId5" Type="http://schemas.openxmlformats.org/officeDocument/2006/relationships/hyperlink" Target="https://spb-neo.ru/informatsiya-dlya-potrebiteley/dlya-yur-lits/zayavka-na-dopolnitelnyy-vyvoz-tko-kgo/" TargetMode="External"/><Relationship Id="rId4" Type="http://schemas.openxmlformats.org/officeDocument/2006/relationships/hyperlink" Target="mailto:zakaz@spb-n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2025-08-11T11:57:00Z</dcterms:created>
  <dcterms:modified xsi:type="dcterms:W3CDTF">2025-08-11T12:21:00Z</dcterms:modified>
</cp:coreProperties>
</file>